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873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1</w:t>
      </w:r>
    </w:p>
    <w:p w14:paraId="74D587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rPr>
      </w:pPr>
    </w:p>
    <w:p w14:paraId="045BE36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海南省高等职业院校“双师型”教师认定标准</w:t>
      </w:r>
    </w:p>
    <w:p w14:paraId="22D89E1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32"/>
          <w:szCs w:val="32"/>
          <w:lang w:eastAsia="zh-CN"/>
        </w:rPr>
      </w:pPr>
      <w:r>
        <w:rPr>
          <w:rFonts w:hint="eastAsia" w:ascii="宋体" w:hAnsi="宋体" w:eastAsia="宋体" w:cs="宋体"/>
          <w:sz w:val="32"/>
          <w:szCs w:val="32"/>
          <w:lang w:eastAsia="zh-CN"/>
        </w:rPr>
        <w:t>（试行）</w:t>
      </w:r>
    </w:p>
    <w:p w14:paraId="62A15D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p>
    <w:p w14:paraId="21415D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rPr>
        <w:t>高等职业院校“双师型”教师认定</w:t>
      </w:r>
      <w:r>
        <w:rPr>
          <w:rFonts w:hint="eastAsia" w:ascii="黑体" w:hAnsi="黑体" w:eastAsia="黑体" w:cs="黑体"/>
          <w:color w:val="auto"/>
          <w:sz w:val="32"/>
          <w:szCs w:val="32"/>
          <w:lang w:val="en-US" w:eastAsia="zh-CN"/>
        </w:rPr>
        <w:t>范围</w:t>
      </w:r>
    </w:p>
    <w:p w14:paraId="78482CC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color w:val="auto"/>
          <w:sz w:val="32"/>
          <w:szCs w:val="32"/>
          <w:lang w:val="en-US" w:eastAsia="zh-CN"/>
        </w:rPr>
      </w:pPr>
      <w:r>
        <w:rPr>
          <w:rFonts w:hint="eastAsia" w:ascii="仿宋_GB2312" w:hAnsi="仿宋_GB2312" w:eastAsia="仿宋_GB2312" w:cs="仿宋_GB2312"/>
          <w:color w:val="auto"/>
          <w:sz w:val="32"/>
          <w:szCs w:val="32"/>
          <w:lang w:val="en-US" w:eastAsia="zh-CN"/>
        </w:rPr>
        <w:t>海南省</w:t>
      </w:r>
      <w:r>
        <w:rPr>
          <w:rFonts w:hint="eastAsia" w:ascii="仿宋_GB2312" w:hAnsi="仿宋_GB2312" w:eastAsia="仿宋_GB2312" w:cs="仿宋_GB2312"/>
          <w:color w:val="auto"/>
          <w:sz w:val="32"/>
          <w:szCs w:val="32"/>
        </w:rPr>
        <w:t>各</w:t>
      </w:r>
      <w:r>
        <w:rPr>
          <w:rFonts w:hint="eastAsia" w:ascii="仿宋_GB2312" w:hAnsi="仿宋_GB2312" w:eastAsia="仿宋_GB2312" w:cs="仿宋_GB2312"/>
          <w:color w:val="auto"/>
          <w:sz w:val="32"/>
          <w:szCs w:val="32"/>
          <w:lang w:val="en-US" w:eastAsia="zh-CN"/>
        </w:rPr>
        <w:t>高等职业院校</w:t>
      </w:r>
      <w:r>
        <w:rPr>
          <w:rFonts w:hint="default" w:ascii="仿宋_GB2312" w:hAnsi="仿宋_GB2312" w:eastAsia="仿宋_GB2312" w:cs="仿宋_GB2312"/>
          <w:color w:val="auto"/>
          <w:sz w:val="32"/>
          <w:szCs w:val="32"/>
          <w:lang w:eastAsia="zh-CN"/>
        </w:rPr>
        <w:t>校内</w:t>
      </w:r>
      <w:r>
        <w:rPr>
          <w:rFonts w:hint="eastAsia" w:ascii="仿宋_GB2312" w:hAnsi="仿宋_GB2312" w:eastAsia="仿宋_GB2312" w:cs="仿宋_GB2312"/>
          <w:color w:val="auto"/>
          <w:sz w:val="32"/>
          <w:szCs w:val="32"/>
          <w:lang w:val="en-US" w:eastAsia="zh-CN"/>
        </w:rPr>
        <w:t>专业课教师（含</w:t>
      </w:r>
      <w:r>
        <w:rPr>
          <w:rFonts w:hint="default" w:ascii="仿宋_GB2312" w:hAnsi="仿宋_GB2312" w:eastAsia="仿宋_GB2312" w:cs="仿宋_GB2312"/>
          <w:color w:val="auto"/>
          <w:sz w:val="32"/>
          <w:szCs w:val="32"/>
          <w:lang w:eastAsia="zh-CN"/>
        </w:rPr>
        <w:t>实习指导</w:t>
      </w:r>
      <w:r>
        <w:rPr>
          <w:rFonts w:hint="eastAsia" w:ascii="仿宋_GB2312" w:hAnsi="仿宋_GB2312" w:eastAsia="仿宋_GB2312" w:cs="仿宋_GB2312"/>
          <w:color w:val="auto"/>
          <w:sz w:val="32"/>
          <w:szCs w:val="32"/>
          <w:lang w:val="en-US" w:eastAsia="zh-CN"/>
        </w:rPr>
        <w:t>教师）。</w:t>
      </w:r>
      <w:r>
        <w:rPr>
          <w:rFonts w:hint="default" w:ascii="仿宋_GB2312" w:hAnsi="仿宋_GB2312" w:eastAsia="仿宋_GB2312" w:cs="仿宋_GB2312"/>
          <w:color w:val="auto"/>
          <w:sz w:val="32"/>
          <w:szCs w:val="32"/>
          <w:lang w:eastAsia="zh-CN"/>
        </w:rPr>
        <w:t>公共课教师</w:t>
      </w:r>
      <w:r>
        <w:rPr>
          <w:rFonts w:hint="eastAsia" w:ascii="仿宋_GB2312" w:hAnsi="仿宋_GB2312" w:eastAsia="仿宋_GB2312" w:cs="仿宋_GB2312"/>
          <w:color w:val="auto"/>
          <w:sz w:val="32"/>
          <w:szCs w:val="32"/>
          <w:lang w:eastAsia="zh-CN"/>
        </w:rPr>
        <w:t>、</w:t>
      </w:r>
      <w:r>
        <w:rPr>
          <w:rFonts w:hint="default" w:ascii="仿宋_GB2312" w:hAnsi="仿宋_GB2312" w:eastAsia="仿宋_GB2312" w:cs="仿宋_GB2312"/>
          <w:color w:val="auto"/>
          <w:sz w:val="32"/>
          <w:szCs w:val="32"/>
          <w:lang w:eastAsia="zh-CN"/>
        </w:rPr>
        <w:t>校内其他具有教师资格并实际承担教</w:t>
      </w:r>
      <w:bookmarkStart w:id="0" w:name="_GoBack"/>
      <w:bookmarkEnd w:id="0"/>
      <w:r>
        <w:rPr>
          <w:rFonts w:hint="default" w:ascii="仿宋_GB2312" w:hAnsi="仿宋_GB2312" w:eastAsia="仿宋_GB2312" w:cs="仿宋_GB2312"/>
          <w:color w:val="auto"/>
          <w:sz w:val="32"/>
          <w:szCs w:val="32"/>
          <w:lang w:eastAsia="zh-CN"/>
        </w:rPr>
        <w:t>学任务的人员</w:t>
      </w:r>
      <w:r>
        <w:rPr>
          <w:rFonts w:hint="eastAsia" w:ascii="仿宋_GB2312" w:hAnsi="仿宋_GB2312" w:eastAsia="仿宋_GB2312" w:cs="仿宋_GB2312"/>
          <w:color w:val="auto"/>
          <w:sz w:val="32"/>
          <w:szCs w:val="32"/>
          <w:lang w:eastAsia="zh-CN"/>
        </w:rPr>
        <w:t>，在符合一定条件的前提下可参照实施。</w:t>
      </w:r>
    </w:p>
    <w:p w14:paraId="7C08C0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、高等职业院校“双师型”教师认定等级</w:t>
      </w:r>
    </w:p>
    <w:p w14:paraId="7C106DD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海南省高等职业院校“双师型”教师认定</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依据不同条件分别设置高级“双师型”教师、中级“双师型”教师、初级“双师型”教师。</w:t>
      </w:r>
    </w:p>
    <w:p w14:paraId="36F84A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高等职业院校“双师型”教师认定</w:t>
      </w:r>
      <w:r>
        <w:rPr>
          <w:rFonts w:hint="eastAsia" w:ascii="黑体" w:hAnsi="黑体" w:eastAsia="黑体" w:cs="黑体"/>
          <w:color w:val="auto"/>
          <w:sz w:val="32"/>
          <w:szCs w:val="32"/>
          <w:lang w:val="en-US" w:eastAsia="zh-CN"/>
        </w:rPr>
        <w:t>基本要求</w:t>
      </w:r>
    </w:p>
    <w:p w14:paraId="250CA4D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“双师型”教师认定应符合如下基本要求：</w:t>
      </w:r>
    </w:p>
    <w:p w14:paraId="36D180C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Times New Roman" w:eastAsia="仿宋_GB2312" w:cs="Times New Roman"/>
          <w:color w:val="auto"/>
          <w:kern w:val="2"/>
          <w:sz w:val="32"/>
          <w:szCs w:val="32"/>
          <w:lang w:val="en-US" w:eastAsia="zh-CN" w:bidi="ar-SA"/>
        </w:rPr>
        <w:t>（一）</w:t>
      </w:r>
      <w:r>
        <w:rPr>
          <w:rFonts w:hint="eastAsia" w:ascii="仿宋_GB2312" w:hAnsi="仿宋_GB2312" w:eastAsia="仿宋_GB2312" w:cs="仿宋_GB2312"/>
          <w:color w:val="auto"/>
          <w:sz w:val="32"/>
          <w:szCs w:val="32"/>
          <w:lang w:val="en-US" w:eastAsia="zh-CN"/>
        </w:rPr>
        <w:t>贯彻党的教育方针，热爱职业教育事业，具有良好的思想政治素质和师德素养，遵守《新时代高校教师十项行为准则》及相关职业道德规范，自觉践行社会主义核心价值观，弘扬劳模精神、劳动精神、工匠精神，为人师表，关爱学生。</w:t>
      </w:r>
    </w:p>
    <w:p w14:paraId="6757C90F">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二）落实立德树人根本任务，遵循职业教育规律和技术技能人才成长规律，践行产教融合、校企合作，做到工学结合、知行合一、德技并修。在教育教学和技术技能培养过程中落实课程思政要求，形成相应的经验模式。</w:t>
      </w:r>
    </w:p>
    <w:p w14:paraId="687F3221">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（三）</w:t>
      </w:r>
      <w:r>
        <w:rPr>
          <w:rFonts w:hint="eastAsia" w:ascii="仿宋_GB2312" w:hAnsi="仿宋_GB2312" w:eastAsia="仿宋_GB2312" w:cs="仿宋_GB2312"/>
          <w:color w:val="auto"/>
          <w:sz w:val="32"/>
          <w:szCs w:val="32"/>
        </w:rPr>
        <w:t>具有高校</w:t>
      </w:r>
      <w:r>
        <w:rPr>
          <w:rFonts w:hint="eastAsia" w:ascii="仿宋_GB2312" w:hAnsi="仿宋_GB2312" w:eastAsia="仿宋_GB2312" w:cs="仿宋_GB2312"/>
          <w:color w:val="auto"/>
          <w:sz w:val="32"/>
          <w:szCs w:val="32"/>
          <w:lang w:val="en-US" w:eastAsia="zh-CN"/>
        </w:rPr>
        <w:t>教师资格且</w:t>
      </w:r>
      <w:r>
        <w:rPr>
          <w:rFonts w:hint="eastAsia" w:ascii="仿宋_GB2312" w:hAnsi="Times New Roman" w:eastAsia="仿宋_GB2312" w:cs="Times New Roman"/>
          <w:color w:val="auto"/>
          <w:kern w:val="2"/>
          <w:sz w:val="32"/>
          <w:szCs w:val="32"/>
          <w:lang w:val="en-US" w:eastAsia="zh-CN" w:bidi="ar-SA"/>
        </w:rPr>
        <w:t>具备相应的理论教学和实践教学能力，掌握所任教学科专业的基础理论、专业知识，了解职业教育教学基本理论，具备必要的专业教学能力和业务水平，年度教学质量考核达到合格以上标准。积极参与教学改革与研究。能够采取多种教学模式方式，有效运用现代信息技术开展教学。</w:t>
      </w:r>
    </w:p>
    <w:p w14:paraId="7A18613F">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四）紧跟产业发展趋势和行业人才需求，具有企业相关工作经历，或积极深入企业和生产服务一线进行岗位实践，时长、形式、内容、标准等应符合职业院校教师企业实践相关规定。理解所教专业（群）与产业的关系，了解产业发展、行业需求和职业岗位变化，及时将新技术、新工艺、新规范融入教学。</w:t>
      </w:r>
    </w:p>
    <w:p w14:paraId="30F4D1F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、高等职业院校“双师型”教师认定</w:t>
      </w:r>
      <w:r>
        <w:rPr>
          <w:rFonts w:hint="eastAsia" w:ascii="黑体" w:hAnsi="黑体" w:eastAsia="黑体" w:cs="黑体"/>
          <w:color w:val="auto"/>
          <w:sz w:val="32"/>
          <w:szCs w:val="32"/>
          <w:lang w:val="en-US" w:eastAsia="zh-CN"/>
        </w:rPr>
        <w:t>等级及条件</w:t>
      </w:r>
    </w:p>
    <w:p w14:paraId="57829FE9">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高等职业院校教师申报各层级“双师型”教师，在满足以上第一至四条基本要求的基础上，还应具备以下条件。</w:t>
      </w:r>
    </w:p>
    <w:p w14:paraId="118176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（一）校内</w:t>
      </w:r>
      <w:r>
        <w:rPr>
          <w:rFonts w:hint="eastAsia" w:ascii="楷体_GB2312" w:hAnsi="楷体_GB2312" w:eastAsia="楷体_GB2312" w:cs="楷体_GB2312"/>
          <w:color w:val="auto"/>
          <w:sz w:val="32"/>
          <w:szCs w:val="32"/>
          <w:lang w:val="en-US" w:eastAsia="zh-CN"/>
        </w:rPr>
        <w:t>专业课</w:t>
      </w:r>
      <w:r>
        <w:rPr>
          <w:rFonts w:hint="eastAsia" w:ascii="楷体_GB2312" w:hAnsi="楷体_GB2312" w:eastAsia="楷体_GB2312" w:cs="楷体_GB2312"/>
          <w:color w:val="auto"/>
          <w:sz w:val="32"/>
          <w:szCs w:val="32"/>
        </w:rPr>
        <w:t>教师申请认定</w:t>
      </w:r>
      <w:r>
        <w:rPr>
          <w:rFonts w:hint="eastAsia" w:ascii="楷体_GB2312" w:hAnsi="楷体_GB2312" w:eastAsia="楷体_GB2312" w:cs="楷体_GB2312"/>
          <w:color w:val="auto"/>
          <w:sz w:val="32"/>
          <w:szCs w:val="32"/>
          <w:lang w:val="en-US" w:eastAsia="zh-CN"/>
        </w:rPr>
        <w:t>等级及</w:t>
      </w:r>
      <w:r>
        <w:rPr>
          <w:rFonts w:hint="eastAsia" w:ascii="楷体_GB2312" w:hAnsi="楷体_GB2312" w:eastAsia="楷体_GB2312" w:cs="楷体_GB2312"/>
          <w:color w:val="auto"/>
          <w:sz w:val="32"/>
          <w:szCs w:val="32"/>
        </w:rPr>
        <w:t>条件</w:t>
      </w:r>
    </w:p>
    <w:p w14:paraId="78654D0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1.初级“双师型”教师</w:t>
      </w:r>
    </w:p>
    <w:p w14:paraId="0261D21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具有高校</w:t>
      </w:r>
      <w:r>
        <w:rPr>
          <w:rFonts w:hint="eastAsia" w:ascii="仿宋_GB2312" w:hAnsi="仿宋_GB2312" w:eastAsia="仿宋_GB2312" w:cs="仿宋_GB2312"/>
          <w:color w:val="auto"/>
          <w:sz w:val="32"/>
          <w:szCs w:val="32"/>
        </w:rPr>
        <w:t>教师系列初级以上专业技术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lang w:eastAsia="zh"/>
        </w:rPr>
        <w:t>且</w:t>
      </w:r>
      <w:r>
        <w:rPr>
          <w:rFonts w:hint="eastAsia" w:ascii="仿宋_GB2312" w:hAnsi="仿宋_GB2312" w:eastAsia="仿宋_GB2312" w:cs="仿宋_GB2312"/>
          <w:color w:val="auto"/>
          <w:sz w:val="32"/>
          <w:szCs w:val="32"/>
        </w:rPr>
        <w:t>具有本专业或相近专业非教师系列</w:t>
      </w:r>
      <w:r>
        <w:rPr>
          <w:rFonts w:hint="eastAsia" w:ascii="仿宋_GB2312" w:hAnsi="仿宋_GB2312" w:eastAsia="仿宋_GB2312" w:cs="仿宋_GB2312"/>
          <w:color w:val="auto"/>
          <w:sz w:val="32"/>
          <w:szCs w:val="32"/>
          <w:lang w:eastAsia="zh"/>
        </w:rPr>
        <w:t>初</w:t>
      </w:r>
      <w:r>
        <w:rPr>
          <w:rFonts w:hint="eastAsia" w:ascii="仿宋_GB2312" w:hAnsi="仿宋_GB2312" w:eastAsia="仿宋_GB2312" w:cs="仿宋_GB2312"/>
          <w:color w:val="auto"/>
          <w:sz w:val="32"/>
          <w:szCs w:val="32"/>
        </w:rPr>
        <w:t>级专业技术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lang w:eastAsia="zh"/>
        </w:rPr>
        <w:t>；或</w:t>
      </w:r>
      <w:r>
        <w:rPr>
          <w:rFonts w:hint="eastAsia" w:ascii="仿宋_GB2312" w:hAnsi="仿宋_GB2312" w:eastAsia="仿宋_GB2312" w:cs="仿宋_GB2312"/>
          <w:color w:val="auto"/>
          <w:sz w:val="32"/>
          <w:szCs w:val="32"/>
          <w:lang w:val="en-US" w:eastAsia="zh-CN"/>
        </w:rPr>
        <w:t>具有高校</w:t>
      </w:r>
      <w:r>
        <w:rPr>
          <w:rFonts w:hint="eastAsia" w:ascii="仿宋_GB2312" w:hAnsi="仿宋_GB2312" w:eastAsia="仿宋_GB2312" w:cs="仿宋_GB2312"/>
          <w:color w:val="auto"/>
          <w:sz w:val="32"/>
          <w:szCs w:val="32"/>
        </w:rPr>
        <w:t>教师系列初级以上专业技术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并同时具备下列专业实践能力条件之一</w:t>
      </w:r>
      <w:r>
        <w:rPr>
          <w:rFonts w:hint="eastAsia" w:ascii="仿宋_GB2312" w:hAnsi="仿宋_GB2312" w:eastAsia="仿宋_GB2312" w:cs="仿宋_GB2312"/>
          <w:color w:val="auto"/>
          <w:sz w:val="32"/>
          <w:szCs w:val="32"/>
          <w:lang w:eastAsia="zh-CN"/>
        </w:rPr>
        <w:t>：</w:t>
      </w:r>
    </w:p>
    <w:p w14:paraId="32FDB733">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具有从事本专业或相近专业的技能（</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级）职业资格证书</w:t>
      </w:r>
      <w:r>
        <w:rPr>
          <w:rFonts w:hint="eastAsia" w:ascii="仿宋_GB2312" w:hAnsi="仿宋_GB2312" w:eastAsia="仿宋_GB2312" w:cs="仿宋_GB2312"/>
          <w:color w:val="auto"/>
          <w:sz w:val="32"/>
          <w:szCs w:val="32"/>
          <w:lang w:val="en-US" w:eastAsia="zh-CN"/>
        </w:rPr>
        <w:t>或中级以上职业技能等级证书</w:t>
      </w:r>
      <w:r>
        <w:rPr>
          <w:rFonts w:hint="eastAsia" w:ascii="仿宋_GB2312" w:hAnsi="仿宋_GB2312" w:eastAsia="仿宋_GB2312" w:cs="仿宋_GB2312"/>
          <w:color w:val="auto"/>
          <w:sz w:val="32"/>
          <w:szCs w:val="32"/>
        </w:rPr>
        <w:t>；</w:t>
      </w:r>
    </w:p>
    <w:p w14:paraId="27B2AFD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具有从事本专业或相近专业的行业特许资格（执业资格）证书并参与行业企业具体案例、项目等工作；</w:t>
      </w:r>
    </w:p>
    <w:p w14:paraId="16403C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具有从事本专业或相近专业国家职业技能鉴定考评员资格证书；</w:t>
      </w:r>
    </w:p>
    <w:p w14:paraId="463A722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近五年中有</w:t>
      </w:r>
      <w:r>
        <w:rPr>
          <w:rFonts w:hint="eastAsia" w:ascii="仿宋_GB2312" w:hAnsi="仿宋_GB2312" w:eastAsia="仿宋_GB2312" w:cs="仿宋_GB2312"/>
          <w:color w:val="auto"/>
          <w:sz w:val="32"/>
          <w:szCs w:val="32"/>
          <w:lang w:val="en-US" w:eastAsia="zh-CN"/>
        </w:rPr>
        <w:t>累计不少于6个月</w:t>
      </w:r>
      <w:r>
        <w:rPr>
          <w:rFonts w:hint="eastAsia" w:ascii="仿宋_GB2312" w:hAnsi="仿宋_GB2312" w:eastAsia="仿宋_GB2312" w:cs="仿宋_GB2312"/>
          <w:color w:val="auto"/>
          <w:sz w:val="32"/>
          <w:szCs w:val="32"/>
        </w:rPr>
        <w:t>在企业第一线从事本专业实际工作经历，</w:t>
      </w:r>
      <w:r>
        <w:rPr>
          <w:rFonts w:hint="eastAsia" w:ascii="仿宋_GB2312" w:hAnsi="仿宋_GB2312" w:eastAsia="仿宋_GB2312" w:cs="仿宋_GB2312"/>
          <w:color w:val="auto"/>
          <w:sz w:val="32"/>
          <w:szCs w:val="32"/>
          <w:lang w:val="en-US" w:eastAsia="zh-CN"/>
        </w:rPr>
        <w:t>或坚持每2年到企业进行2个月以上的专业实践</w:t>
      </w:r>
      <w:r>
        <w:rPr>
          <w:rFonts w:hint="eastAsia" w:ascii="仿宋_GB2312" w:hAnsi="仿宋_GB2312" w:eastAsia="仿宋_GB2312" w:cs="仿宋_GB2312"/>
          <w:color w:val="auto"/>
          <w:sz w:val="32"/>
          <w:szCs w:val="32"/>
        </w:rPr>
        <w:t>；</w:t>
      </w:r>
    </w:p>
    <w:p w14:paraId="0E6680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近五年主持或主要参与（前</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名）为</w:t>
      </w:r>
      <w:r>
        <w:rPr>
          <w:rFonts w:hint="eastAsia" w:ascii="仿宋_GB2312" w:hAnsi="仿宋_GB2312" w:eastAsia="仿宋_GB2312" w:cs="仿宋_GB2312"/>
          <w:color w:val="auto"/>
          <w:sz w:val="32"/>
          <w:szCs w:val="32"/>
          <w:lang w:val="en-US" w:eastAsia="zh-CN"/>
        </w:rPr>
        <w:t>政府、</w:t>
      </w:r>
      <w:r>
        <w:rPr>
          <w:rFonts w:hint="eastAsia" w:ascii="仿宋_GB2312" w:hAnsi="仿宋_GB2312" w:eastAsia="仿宋_GB2312" w:cs="仿宋_GB2312"/>
          <w:color w:val="auto"/>
          <w:sz w:val="32"/>
          <w:szCs w:val="32"/>
        </w:rPr>
        <w:t>企事业单位</w:t>
      </w:r>
      <w:r>
        <w:rPr>
          <w:rFonts w:hint="eastAsia" w:ascii="仿宋_GB2312" w:hAnsi="仿宋_GB2312" w:eastAsia="仿宋_GB2312" w:cs="仿宋_GB2312"/>
          <w:color w:val="auto"/>
          <w:sz w:val="32"/>
          <w:szCs w:val="32"/>
          <w:lang w:val="en-US" w:eastAsia="zh-CN"/>
        </w:rPr>
        <w:t>及行业组织</w:t>
      </w:r>
      <w:r>
        <w:rPr>
          <w:rFonts w:hint="eastAsia" w:ascii="仿宋_GB2312" w:hAnsi="仿宋_GB2312" w:eastAsia="仿宋_GB2312" w:cs="仿宋_GB2312"/>
          <w:color w:val="auto"/>
          <w:sz w:val="32"/>
          <w:szCs w:val="32"/>
        </w:rPr>
        <w:t>开展的各类技术研发和相关服务，成果已被使用，效益良好；</w:t>
      </w:r>
    </w:p>
    <w:p w14:paraId="6B2583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近五年</w:t>
      </w:r>
      <w:r>
        <w:rPr>
          <w:rFonts w:hint="eastAsia" w:ascii="仿宋_GB2312" w:hAnsi="仿宋_GB2312" w:eastAsia="仿宋_GB2312" w:cs="仿宋_GB2312"/>
          <w:color w:val="auto"/>
          <w:sz w:val="32"/>
          <w:szCs w:val="32"/>
        </w:rPr>
        <w:t>本人在技能类赛事中获得</w:t>
      </w:r>
      <w:r>
        <w:rPr>
          <w:rFonts w:hint="eastAsia" w:ascii="仿宋_GB2312" w:hAnsi="仿宋_GB2312" w:eastAsia="仿宋_GB2312" w:cs="仿宋_GB2312"/>
          <w:color w:val="auto"/>
          <w:sz w:val="32"/>
          <w:szCs w:val="32"/>
          <w:lang w:val="en-US" w:eastAsia="zh-CN"/>
        </w:rPr>
        <w:t>奖项（市县级获得三等奖以上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省级以上奖项）</w:t>
      </w:r>
      <w:r>
        <w:rPr>
          <w:rFonts w:hint="eastAsia" w:ascii="仿宋_GB2312" w:hAnsi="仿宋_GB2312" w:eastAsia="仿宋_GB2312" w:cs="仿宋_GB2312"/>
          <w:color w:val="auto"/>
          <w:sz w:val="32"/>
          <w:szCs w:val="32"/>
        </w:rPr>
        <w:t>；或近</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年指导学生参加技能类赛事</w:t>
      </w:r>
      <w:r>
        <w:rPr>
          <w:rFonts w:hint="eastAsia" w:ascii="仿宋_GB2312" w:hAnsi="仿宋_GB2312" w:eastAsia="仿宋_GB2312" w:cs="仿宋_GB2312"/>
          <w:color w:val="auto"/>
          <w:sz w:val="32"/>
          <w:szCs w:val="32"/>
          <w:lang w:val="en-US" w:eastAsia="zh-CN"/>
        </w:rPr>
        <w:t>获奖（市县级三等奖以上</w:t>
      </w:r>
      <w:r>
        <w:rPr>
          <w:rFonts w:hint="default" w:ascii="仿宋_GB2312" w:hAnsi="仿宋_GB2312" w:eastAsia="仿宋_GB2312" w:cs="仿宋_GB2312"/>
          <w:color w:val="auto"/>
          <w:sz w:val="32"/>
          <w:szCs w:val="32"/>
          <w:lang w:eastAsia="zh-CN"/>
        </w:rPr>
        <w:t>或省级</w:t>
      </w:r>
      <w:r>
        <w:rPr>
          <w:rFonts w:hint="eastAsia" w:ascii="仿宋_GB2312" w:hAnsi="仿宋_GB2312" w:eastAsia="仿宋_GB2312" w:cs="仿宋_GB2312"/>
          <w:color w:val="auto"/>
          <w:sz w:val="32"/>
          <w:szCs w:val="32"/>
          <w:lang w:eastAsia="zh-CN"/>
        </w:rPr>
        <w:t>以上</w:t>
      </w:r>
      <w:r>
        <w:rPr>
          <w:rFonts w:hint="default" w:ascii="仿宋_GB2312" w:hAnsi="仿宋_GB2312" w:eastAsia="仿宋_GB2312" w:cs="仿宋_GB2312"/>
          <w:color w:val="auto"/>
          <w:sz w:val="32"/>
          <w:szCs w:val="32"/>
          <w:lang w:eastAsia="zh-CN"/>
        </w:rPr>
        <w:t>奖</w:t>
      </w:r>
      <w:r>
        <w:rPr>
          <w:rFonts w:hint="eastAsia" w:ascii="仿宋_GB2312" w:hAnsi="仿宋_GB2312" w:eastAsia="仿宋_GB2312" w:cs="仿宋_GB2312"/>
          <w:color w:val="auto"/>
          <w:sz w:val="32"/>
          <w:szCs w:val="32"/>
          <w:lang w:eastAsia="zh"/>
        </w:rPr>
        <w:t>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
        </w:rPr>
        <w:t>；</w:t>
      </w:r>
    </w:p>
    <w:p w14:paraId="393498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w:t>
      </w:r>
      <w:r>
        <w:rPr>
          <w:rFonts w:hint="eastAsia" w:ascii="仿宋_GB2312" w:hAnsi="仿宋_GB2312" w:eastAsia="仿宋_GB2312" w:cs="仿宋_GB2312"/>
          <w:color w:val="auto"/>
          <w:sz w:val="32"/>
          <w:szCs w:val="32"/>
        </w:rPr>
        <w:t>年参加省级以上教育部门师资培训基地组织的“双师</w:t>
      </w:r>
      <w:r>
        <w:rPr>
          <w:rFonts w:hint="eastAsia" w:ascii="仿宋_GB2312" w:hAnsi="仿宋_GB2312" w:eastAsia="仿宋_GB2312" w:cs="仿宋_GB2312"/>
          <w:color w:val="auto"/>
          <w:sz w:val="32"/>
          <w:szCs w:val="32"/>
          <w:lang w:val="en-US" w:eastAsia="zh-CN"/>
        </w:rPr>
        <w:t>型</w:t>
      </w:r>
      <w:r>
        <w:rPr>
          <w:rFonts w:hint="eastAsia" w:ascii="仿宋_GB2312" w:hAnsi="仿宋_GB2312" w:eastAsia="仿宋_GB2312" w:cs="仿宋_GB2312"/>
          <w:color w:val="auto"/>
          <w:sz w:val="32"/>
          <w:szCs w:val="32"/>
        </w:rPr>
        <w:t>”教师培训，完成规定的培训内容，掌握相应专业的关键技能经考核为</w:t>
      </w:r>
      <w:r>
        <w:rPr>
          <w:rFonts w:hint="eastAsia" w:ascii="仿宋_GB2312" w:hAnsi="仿宋_GB2312" w:eastAsia="仿宋_GB2312" w:cs="仿宋_GB2312"/>
          <w:color w:val="auto"/>
          <w:sz w:val="32"/>
          <w:szCs w:val="32"/>
          <w:lang w:val="en-US" w:eastAsia="zh-CN"/>
        </w:rPr>
        <w:t>良好以上</w:t>
      </w:r>
      <w:r>
        <w:rPr>
          <w:rFonts w:hint="eastAsia" w:ascii="仿宋_GB2312" w:hAnsi="仿宋_GB2312" w:eastAsia="仿宋_GB2312" w:cs="仿宋_GB2312"/>
          <w:color w:val="auto"/>
          <w:sz w:val="32"/>
          <w:szCs w:val="32"/>
        </w:rPr>
        <w:t>档次</w:t>
      </w:r>
      <w:r>
        <w:rPr>
          <w:rFonts w:hint="eastAsia" w:ascii="仿宋_GB2312" w:hAnsi="仿宋_GB2312" w:eastAsia="仿宋_GB2312" w:cs="仿宋_GB2312"/>
          <w:color w:val="auto"/>
          <w:sz w:val="32"/>
          <w:szCs w:val="32"/>
          <w:lang w:eastAsia="zh"/>
        </w:rPr>
        <w:t>；</w:t>
      </w:r>
    </w:p>
    <w:p w14:paraId="0DC8C26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近五年获得市县级以上技术发明奖、科学技术进步奖、应用性社会科学优秀成果奖等应用型或技术类奖项；或有各类国家专利授权（实用新型、软著、发明等）并有1项成果转化证明</w:t>
      </w:r>
      <w:r>
        <w:rPr>
          <w:rFonts w:hint="eastAsia" w:ascii="仿宋_GB2312" w:hAnsi="仿宋_GB2312" w:eastAsia="仿宋_GB2312" w:cs="仿宋_GB2312"/>
          <w:color w:val="auto"/>
          <w:sz w:val="32"/>
          <w:szCs w:val="32"/>
          <w:lang w:val="en-US" w:eastAsia="zh"/>
        </w:rPr>
        <w:t>；</w:t>
      </w:r>
    </w:p>
    <w:p w14:paraId="7BD3ADC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
        </w:rPr>
        <w:t>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近五年获得市县级以上政府</w:t>
      </w:r>
      <w:r>
        <w:rPr>
          <w:rFonts w:hint="eastAsia" w:ascii="仿宋_GB2312" w:hAnsi="仿宋_GB2312" w:eastAsia="仿宋_GB2312" w:cs="仿宋_GB2312"/>
          <w:color w:val="auto"/>
          <w:sz w:val="32"/>
          <w:szCs w:val="32"/>
          <w:lang w:val="en-US" w:eastAsia="zh"/>
        </w:rPr>
        <w:t>或相关行业主管部门</w:t>
      </w:r>
      <w:r>
        <w:rPr>
          <w:rFonts w:hint="eastAsia" w:ascii="仿宋_GB2312" w:hAnsi="仿宋_GB2312" w:eastAsia="仿宋_GB2312" w:cs="仿宋_GB2312"/>
          <w:color w:val="auto"/>
          <w:sz w:val="32"/>
          <w:szCs w:val="32"/>
          <w:lang w:val="en-US" w:eastAsia="zh-CN"/>
        </w:rPr>
        <w:t>授予的与本专业相关的“南海系列人才”、“技术能手”、“生产标兵”、“能工巧匠”等称号。</w:t>
      </w:r>
    </w:p>
    <w:p w14:paraId="27BFED2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2.中级“双师型”教师</w:t>
      </w:r>
    </w:p>
    <w:p w14:paraId="58A121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具有高校</w:t>
      </w:r>
      <w:r>
        <w:rPr>
          <w:rFonts w:hint="eastAsia" w:ascii="仿宋_GB2312" w:hAnsi="仿宋_GB2312" w:eastAsia="仿宋_GB2312" w:cs="仿宋_GB2312"/>
          <w:color w:val="auto"/>
          <w:sz w:val="32"/>
          <w:szCs w:val="32"/>
        </w:rPr>
        <w:t>教师系列</w:t>
      </w:r>
      <w:r>
        <w:rPr>
          <w:rFonts w:hint="eastAsia" w:ascii="仿宋_GB2312" w:hAnsi="仿宋_GB2312" w:eastAsia="仿宋_GB2312" w:cs="仿宋_GB2312"/>
          <w:color w:val="auto"/>
          <w:sz w:val="32"/>
          <w:szCs w:val="32"/>
          <w:lang w:eastAsia="zh"/>
        </w:rPr>
        <w:t>中</w:t>
      </w:r>
      <w:r>
        <w:rPr>
          <w:rFonts w:hint="eastAsia" w:ascii="仿宋_GB2312" w:hAnsi="仿宋_GB2312" w:eastAsia="仿宋_GB2312" w:cs="仿宋_GB2312"/>
          <w:color w:val="auto"/>
          <w:sz w:val="32"/>
          <w:szCs w:val="32"/>
        </w:rPr>
        <w:t>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lang w:eastAsia="zh"/>
        </w:rPr>
        <w:t>且</w:t>
      </w:r>
      <w:r>
        <w:rPr>
          <w:rFonts w:hint="eastAsia" w:ascii="仿宋_GB2312" w:hAnsi="仿宋_GB2312" w:eastAsia="仿宋_GB2312" w:cs="仿宋_GB2312"/>
          <w:color w:val="auto"/>
          <w:sz w:val="32"/>
          <w:szCs w:val="32"/>
        </w:rPr>
        <w:t>具有本专业或相近专业非教师系列</w:t>
      </w:r>
      <w:r>
        <w:rPr>
          <w:rFonts w:hint="eastAsia" w:ascii="仿宋_GB2312" w:hAnsi="仿宋_GB2312" w:eastAsia="仿宋_GB2312" w:cs="仿宋_GB2312"/>
          <w:color w:val="auto"/>
          <w:sz w:val="32"/>
          <w:szCs w:val="32"/>
          <w:lang w:eastAsia="zh"/>
        </w:rPr>
        <w:t>初</w:t>
      </w:r>
      <w:r>
        <w:rPr>
          <w:rFonts w:hint="eastAsia" w:ascii="仿宋_GB2312" w:hAnsi="仿宋_GB2312" w:eastAsia="仿宋_GB2312" w:cs="仿宋_GB2312"/>
          <w:color w:val="auto"/>
          <w:sz w:val="32"/>
          <w:szCs w:val="32"/>
        </w:rPr>
        <w:t>级专业技术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lang w:eastAsia="zh"/>
        </w:rPr>
        <w:t>；</w:t>
      </w:r>
      <w:r>
        <w:rPr>
          <w:rFonts w:hint="eastAsia" w:ascii="仿宋_GB2312" w:hAnsi="仿宋_GB2312" w:eastAsia="仿宋_GB2312" w:cs="仿宋_GB2312"/>
          <w:color w:val="auto"/>
          <w:sz w:val="32"/>
          <w:szCs w:val="32"/>
        </w:rPr>
        <w:t>或具有高校教师系列</w:t>
      </w:r>
      <w:r>
        <w:rPr>
          <w:rFonts w:hint="eastAsia" w:ascii="仿宋_GB2312" w:hAnsi="仿宋_GB2312" w:eastAsia="仿宋_GB2312" w:cs="仿宋_GB2312"/>
          <w:color w:val="auto"/>
          <w:sz w:val="32"/>
          <w:szCs w:val="32"/>
          <w:lang w:eastAsia="zh"/>
        </w:rPr>
        <w:t>初</w:t>
      </w:r>
      <w:r>
        <w:rPr>
          <w:rFonts w:hint="eastAsia" w:ascii="仿宋_GB2312" w:hAnsi="仿宋_GB2312" w:eastAsia="仿宋_GB2312" w:cs="仿宋_GB2312"/>
          <w:color w:val="auto"/>
          <w:sz w:val="32"/>
          <w:szCs w:val="32"/>
        </w:rPr>
        <w:t>级专业技术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且具有本专业或相近专业非教师系列中级以上专业技术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
        </w:rPr>
        <w:t>或</w:t>
      </w:r>
      <w:r>
        <w:rPr>
          <w:rFonts w:hint="eastAsia" w:ascii="仿宋_GB2312" w:hAnsi="仿宋_GB2312" w:eastAsia="仿宋_GB2312" w:cs="仿宋_GB2312"/>
          <w:color w:val="auto"/>
          <w:sz w:val="32"/>
          <w:szCs w:val="32"/>
          <w:lang w:val="en-US" w:eastAsia="zh-CN"/>
        </w:rPr>
        <w:t>具有高校教师</w:t>
      </w:r>
      <w:r>
        <w:rPr>
          <w:rFonts w:hint="eastAsia" w:ascii="仿宋_GB2312" w:hAnsi="仿宋_GB2312" w:eastAsia="仿宋_GB2312" w:cs="仿宋_GB2312"/>
          <w:color w:val="auto"/>
          <w:sz w:val="32"/>
          <w:szCs w:val="32"/>
        </w:rPr>
        <w:t>系列中级以上专业技术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并同时具备下列专业实践能力条件之一：</w:t>
      </w:r>
    </w:p>
    <w:p w14:paraId="5F8B88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具有从事本专业或相近专业的技能（三级）职业资格证书</w:t>
      </w:r>
      <w:r>
        <w:rPr>
          <w:rFonts w:hint="eastAsia" w:ascii="仿宋_GB2312" w:hAnsi="仿宋_GB2312" w:eastAsia="仿宋_GB2312" w:cs="仿宋_GB2312"/>
          <w:color w:val="auto"/>
          <w:sz w:val="32"/>
          <w:szCs w:val="32"/>
          <w:lang w:val="en-US" w:eastAsia="zh-CN"/>
        </w:rPr>
        <w:t>或高级职业技能等级证书</w:t>
      </w:r>
      <w:r>
        <w:rPr>
          <w:rFonts w:hint="eastAsia" w:ascii="仿宋_GB2312" w:hAnsi="仿宋_GB2312" w:eastAsia="仿宋_GB2312" w:cs="仿宋_GB2312"/>
          <w:color w:val="auto"/>
          <w:sz w:val="32"/>
          <w:szCs w:val="32"/>
        </w:rPr>
        <w:t>，并在近五年内，有</w:t>
      </w:r>
      <w:r>
        <w:rPr>
          <w:rFonts w:hint="eastAsia" w:ascii="仿宋_GB2312" w:hAnsi="仿宋_GB2312" w:eastAsia="仿宋_GB2312" w:cs="仿宋_GB2312"/>
          <w:color w:val="auto"/>
          <w:sz w:val="32"/>
          <w:szCs w:val="32"/>
          <w:lang w:val="en-US" w:eastAsia="zh-CN"/>
        </w:rPr>
        <w:t>不少于6个月的</w:t>
      </w:r>
      <w:r>
        <w:rPr>
          <w:rFonts w:hint="eastAsia" w:ascii="仿宋_GB2312" w:hAnsi="仿宋_GB2312" w:eastAsia="仿宋_GB2312" w:cs="仿宋_GB2312"/>
          <w:color w:val="auto"/>
          <w:sz w:val="32"/>
          <w:szCs w:val="32"/>
        </w:rPr>
        <w:t>企业（或社会）实践工作经历；</w:t>
      </w:r>
    </w:p>
    <w:p w14:paraId="41CDED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具有从事本专业或相近专业技师（二级）及以上职业资格证书</w:t>
      </w:r>
      <w:r>
        <w:rPr>
          <w:rFonts w:hint="eastAsia" w:ascii="仿宋_GB2312" w:hAnsi="仿宋_GB2312" w:eastAsia="仿宋_GB2312" w:cs="仿宋_GB2312"/>
          <w:color w:val="auto"/>
          <w:sz w:val="32"/>
          <w:szCs w:val="32"/>
          <w:lang w:val="en-US" w:eastAsia="zh-CN"/>
        </w:rPr>
        <w:t>或高级以上职业技能等级证书</w:t>
      </w:r>
      <w:r>
        <w:rPr>
          <w:rFonts w:hint="eastAsia" w:ascii="仿宋_GB2312" w:hAnsi="仿宋_GB2312" w:eastAsia="仿宋_GB2312" w:cs="仿宋_GB2312"/>
          <w:color w:val="auto"/>
          <w:sz w:val="32"/>
          <w:szCs w:val="32"/>
        </w:rPr>
        <w:t>；</w:t>
      </w:r>
    </w:p>
    <w:p w14:paraId="765BEA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具有从事本专业或相近专业国家职业技能鉴定考评员资格证书；</w:t>
      </w:r>
    </w:p>
    <w:p w14:paraId="70D6812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具有从事本专业或相近专业的行业特许资格（执业资格）证书并每年承担行业企业具体案例、项目等工作1项以上；</w:t>
      </w:r>
    </w:p>
    <w:p w14:paraId="7AD54C8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w:t>
      </w:r>
      <w:r>
        <w:rPr>
          <w:rFonts w:hint="eastAsia" w:ascii="仿宋_GB2312" w:hAnsi="仿宋_GB2312" w:eastAsia="仿宋_GB2312" w:cs="仿宋_GB2312"/>
          <w:color w:val="auto"/>
          <w:sz w:val="32"/>
          <w:szCs w:val="32"/>
          <w:lang w:val="en-US" w:eastAsia="zh-CN"/>
        </w:rPr>
        <w:t>两</w:t>
      </w:r>
      <w:r>
        <w:rPr>
          <w:rFonts w:hint="eastAsia" w:ascii="仿宋_GB2312" w:hAnsi="仿宋_GB2312" w:eastAsia="仿宋_GB2312" w:cs="仿宋_GB2312"/>
          <w:color w:val="auto"/>
          <w:sz w:val="32"/>
          <w:szCs w:val="32"/>
        </w:rPr>
        <w:t>年以上或近五年内有</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年以上企业第一线专业技术工作经历；</w:t>
      </w:r>
    </w:p>
    <w:p w14:paraId="449A5A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近五年主持</w:t>
      </w:r>
      <w:r>
        <w:rPr>
          <w:rFonts w:hint="eastAsia" w:ascii="仿宋_GB2312" w:hAnsi="仿宋_GB2312" w:eastAsia="仿宋_GB2312" w:cs="仿宋_GB2312"/>
          <w:color w:val="auto"/>
          <w:sz w:val="32"/>
          <w:szCs w:val="32"/>
          <w:lang w:val="en-US" w:eastAsia="zh-CN"/>
        </w:rPr>
        <w:t>1项以上</w:t>
      </w:r>
      <w:r>
        <w:rPr>
          <w:rFonts w:hint="eastAsia" w:ascii="仿宋_GB2312" w:hAnsi="仿宋_GB2312" w:eastAsia="仿宋_GB2312" w:cs="仿宋_GB2312"/>
          <w:color w:val="auto"/>
          <w:sz w:val="32"/>
          <w:szCs w:val="32"/>
        </w:rPr>
        <w:t>或主要参与（前3名）2项以上为企事业单位开展的各类技术研发和相关服务，成果已被企业使用，效益良好；</w:t>
      </w:r>
    </w:p>
    <w:p w14:paraId="2CD422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近五年</w:t>
      </w:r>
      <w:r>
        <w:rPr>
          <w:rFonts w:hint="eastAsia" w:ascii="仿宋_GB2312" w:hAnsi="仿宋_GB2312" w:eastAsia="仿宋_GB2312" w:cs="仿宋_GB2312"/>
          <w:color w:val="auto"/>
          <w:sz w:val="32"/>
          <w:szCs w:val="32"/>
        </w:rPr>
        <w:t>本人在技能类赛事中</w:t>
      </w:r>
      <w:r>
        <w:rPr>
          <w:rFonts w:hint="eastAsia" w:ascii="仿宋_GB2312" w:hAnsi="仿宋_GB2312" w:eastAsia="仿宋_GB2312" w:cs="仿宋_GB2312"/>
          <w:color w:val="auto"/>
          <w:sz w:val="32"/>
          <w:szCs w:val="32"/>
          <w:lang w:val="en-US" w:eastAsia="zh-CN"/>
        </w:rPr>
        <w:t>获奖（市县级获得二等奖以上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省级获得三等奖以上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国家级</w:t>
      </w:r>
      <w:r>
        <w:rPr>
          <w:rFonts w:hint="eastAsia" w:ascii="仿宋_GB2312" w:hAnsi="仿宋_GB2312" w:eastAsia="仿宋_GB2312" w:cs="仿宋_GB2312"/>
          <w:color w:val="auto"/>
          <w:sz w:val="32"/>
          <w:szCs w:val="32"/>
          <w:lang w:val="en-US" w:eastAsia="zh"/>
        </w:rPr>
        <w:t>奖项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或近</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rPr>
        <w:t>年指导学生参加技能类赛事</w:t>
      </w:r>
      <w:r>
        <w:rPr>
          <w:rFonts w:hint="eastAsia" w:ascii="仿宋_GB2312" w:hAnsi="仿宋_GB2312" w:eastAsia="仿宋_GB2312" w:cs="仿宋_GB2312"/>
          <w:color w:val="auto"/>
          <w:sz w:val="32"/>
          <w:szCs w:val="32"/>
          <w:lang w:val="en-US" w:eastAsia="zh-CN"/>
        </w:rPr>
        <w:t>获奖（市县级二等奖以上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省级三等奖以上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国家级</w:t>
      </w:r>
      <w:r>
        <w:rPr>
          <w:rFonts w:hint="eastAsia" w:ascii="仿宋_GB2312" w:hAnsi="仿宋_GB2312" w:eastAsia="仿宋_GB2312" w:cs="仿宋_GB2312"/>
          <w:color w:val="auto"/>
          <w:sz w:val="32"/>
          <w:szCs w:val="32"/>
          <w:lang w:val="en-US" w:eastAsia="zh"/>
        </w:rPr>
        <w:t>奖项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
        </w:rPr>
        <w:t>；</w:t>
      </w:r>
    </w:p>
    <w:p w14:paraId="2BA4CB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近五年获得市县级以上技术发明奖、科学技术进步奖、应用性社会科学优秀成果奖等应用型或技术类奖项；或有各类国家专利授权（实用新型、软著、发明等）并有2项成果转化证明；</w:t>
      </w:r>
    </w:p>
    <w:p w14:paraId="14D7984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（9）近五年获得市县级以上政府</w:t>
      </w:r>
      <w:r>
        <w:rPr>
          <w:rFonts w:hint="eastAsia" w:ascii="仿宋_GB2312" w:hAnsi="仿宋_GB2312" w:eastAsia="仿宋_GB2312" w:cs="仿宋_GB2312"/>
          <w:color w:val="auto"/>
          <w:sz w:val="32"/>
          <w:szCs w:val="32"/>
          <w:lang w:val="en-US" w:eastAsia="zh"/>
        </w:rPr>
        <w:t>或相关行业主管部门</w:t>
      </w:r>
      <w:r>
        <w:rPr>
          <w:rFonts w:hint="eastAsia" w:ascii="仿宋_GB2312" w:hAnsi="仿宋_GB2312" w:eastAsia="仿宋_GB2312" w:cs="仿宋_GB2312"/>
          <w:color w:val="auto"/>
          <w:sz w:val="32"/>
          <w:szCs w:val="32"/>
          <w:lang w:val="en-US" w:eastAsia="zh-CN"/>
        </w:rPr>
        <w:t>授予的与本专业相关的“南海系列人才”、“技术能手”、“生产标兵”、“能工巧匠”等称号。</w:t>
      </w:r>
    </w:p>
    <w:p w14:paraId="62E7C73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高级“双师型”教师</w:t>
      </w:r>
    </w:p>
    <w:p w14:paraId="6BEEC20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具有高校教师</w:t>
      </w:r>
      <w:r>
        <w:rPr>
          <w:rFonts w:hint="eastAsia" w:ascii="仿宋_GB2312" w:hAnsi="仿宋_GB2312" w:eastAsia="仿宋_GB2312" w:cs="仿宋_GB2312"/>
          <w:color w:val="auto"/>
          <w:sz w:val="32"/>
          <w:szCs w:val="32"/>
          <w:lang w:val="en-US" w:eastAsia="zh-CN"/>
        </w:rPr>
        <w:t>资格</w:t>
      </w:r>
      <w:r>
        <w:rPr>
          <w:rFonts w:hint="eastAsia" w:ascii="仿宋_GB2312" w:hAnsi="仿宋_GB2312" w:eastAsia="仿宋_GB2312" w:cs="仿宋_GB2312"/>
          <w:color w:val="auto"/>
          <w:sz w:val="32"/>
          <w:szCs w:val="32"/>
          <w:lang w:val="en-US" w:eastAsia="zh"/>
        </w:rPr>
        <w:t>和</w:t>
      </w:r>
      <w:r>
        <w:rPr>
          <w:rFonts w:hint="eastAsia" w:ascii="仿宋_GB2312" w:hAnsi="仿宋_GB2312" w:eastAsia="仿宋_GB2312" w:cs="仿宋_GB2312"/>
          <w:color w:val="auto"/>
          <w:sz w:val="32"/>
          <w:szCs w:val="32"/>
        </w:rPr>
        <w:t>高校教师系列中级以上专业技术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且具有本专业或相近专业非教师系列高级专业技术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；或具有高校教师系列高级专业技术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且具有本专业或相近专业非教师系列中级以上专业技术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；或具有高校教师系列高级专业技术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并同时具备下列专业实践能力条件之一：</w:t>
      </w:r>
    </w:p>
    <w:p w14:paraId="0BF4882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具有从事本专业或相近专业的技能（</w:t>
      </w:r>
      <w:r>
        <w:rPr>
          <w:rFonts w:hint="default" w:ascii="仿宋_GB2312" w:hAnsi="仿宋_GB2312" w:eastAsia="仿宋_GB2312" w:cs="仿宋_GB2312"/>
          <w:color w:val="auto"/>
          <w:sz w:val="32"/>
          <w:szCs w:val="32"/>
        </w:rPr>
        <w:t>二</w:t>
      </w:r>
      <w:r>
        <w:rPr>
          <w:rFonts w:hint="eastAsia" w:ascii="仿宋_GB2312" w:hAnsi="仿宋_GB2312" w:eastAsia="仿宋_GB2312" w:cs="仿宋_GB2312"/>
          <w:color w:val="auto"/>
          <w:sz w:val="32"/>
          <w:szCs w:val="32"/>
        </w:rPr>
        <w:t>级）职业资格证书，并在近</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年内，</w:t>
      </w:r>
      <w:r>
        <w:rPr>
          <w:rFonts w:hint="eastAsia" w:ascii="仿宋_GB2312" w:hAnsi="仿宋_GB2312" w:eastAsia="仿宋_GB2312" w:cs="仿宋_GB2312"/>
          <w:color w:val="auto"/>
          <w:sz w:val="32"/>
          <w:szCs w:val="32"/>
          <w:lang w:val="en-US" w:eastAsia="zh-CN"/>
        </w:rPr>
        <w:t>有6个月</w:t>
      </w:r>
      <w:r>
        <w:rPr>
          <w:rFonts w:hint="eastAsia" w:ascii="仿宋_GB2312" w:hAnsi="仿宋_GB2312" w:eastAsia="仿宋_GB2312" w:cs="仿宋_GB2312"/>
          <w:color w:val="auto"/>
          <w:sz w:val="32"/>
          <w:szCs w:val="32"/>
        </w:rPr>
        <w:t>以上企业（或社会）实践工作经历；</w:t>
      </w:r>
    </w:p>
    <w:p w14:paraId="127292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具有从事本专业或相近专业技师（二级）职业资格证书</w:t>
      </w:r>
      <w:r>
        <w:rPr>
          <w:rFonts w:hint="eastAsia" w:ascii="仿宋_GB2312" w:hAnsi="仿宋_GB2312" w:eastAsia="仿宋_GB2312" w:cs="仿宋_GB2312"/>
          <w:color w:val="auto"/>
          <w:sz w:val="32"/>
          <w:szCs w:val="32"/>
          <w:lang w:val="en-US" w:eastAsia="zh-CN"/>
        </w:rPr>
        <w:t>或高级职业技能等级证书</w:t>
      </w:r>
      <w:r>
        <w:rPr>
          <w:rFonts w:hint="eastAsia" w:ascii="仿宋_GB2312" w:hAnsi="仿宋_GB2312" w:eastAsia="仿宋_GB2312" w:cs="仿宋_GB2312"/>
          <w:color w:val="auto"/>
          <w:sz w:val="32"/>
          <w:szCs w:val="32"/>
        </w:rPr>
        <w:t>，并在近五年内，有</w:t>
      </w:r>
      <w:r>
        <w:rPr>
          <w:rFonts w:hint="eastAsia" w:ascii="仿宋_GB2312" w:hAnsi="仿宋_GB2312" w:eastAsia="仿宋_GB2312" w:cs="仿宋_GB2312"/>
          <w:color w:val="auto"/>
          <w:sz w:val="32"/>
          <w:szCs w:val="32"/>
          <w:lang w:val="en-US" w:eastAsia="zh-CN"/>
        </w:rPr>
        <w:t>6个月</w:t>
      </w:r>
      <w:r>
        <w:rPr>
          <w:rFonts w:hint="eastAsia" w:ascii="仿宋_GB2312" w:hAnsi="仿宋_GB2312" w:eastAsia="仿宋_GB2312" w:cs="仿宋_GB2312"/>
          <w:color w:val="auto"/>
          <w:sz w:val="32"/>
          <w:szCs w:val="32"/>
        </w:rPr>
        <w:t>以上企业（或社会）实践工作经历；</w:t>
      </w:r>
    </w:p>
    <w:p w14:paraId="6407EB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具有从事本专业或相近专业高级技师（一级）</w:t>
      </w:r>
      <w:r>
        <w:rPr>
          <w:rFonts w:hint="eastAsia" w:ascii="仿宋_GB2312" w:hAnsi="仿宋_GB2312" w:eastAsia="仿宋_GB2312" w:cs="仿宋_GB2312"/>
          <w:color w:val="auto"/>
          <w:sz w:val="32"/>
          <w:szCs w:val="32"/>
          <w:lang w:val="en-US" w:eastAsia="zh-CN"/>
        </w:rPr>
        <w:t>以上</w:t>
      </w:r>
      <w:r>
        <w:rPr>
          <w:rFonts w:hint="eastAsia" w:ascii="仿宋_GB2312" w:hAnsi="仿宋_GB2312" w:eastAsia="仿宋_GB2312" w:cs="仿宋_GB2312"/>
          <w:color w:val="auto"/>
          <w:sz w:val="32"/>
          <w:szCs w:val="32"/>
        </w:rPr>
        <w:t>职业资格证书；</w:t>
      </w:r>
    </w:p>
    <w:p w14:paraId="7C900A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具有从事本专业或相近专业国家职业技能鉴定</w:t>
      </w:r>
      <w:r>
        <w:rPr>
          <w:rFonts w:hint="eastAsia" w:ascii="仿宋_GB2312" w:hAnsi="仿宋_GB2312" w:eastAsia="仿宋_GB2312" w:cs="仿宋_GB2312"/>
          <w:color w:val="auto"/>
          <w:sz w:val="32"/>
          <w:szCs w:val="32"/>
          <w:lang w:val="en-US" w:eastAsia="zh-CN"/>
        </w:rPr>
        <w:t>高级</w:t>
      </w:r>
      <w:r>
        <w:rPr>
          <w:rFonts w:hint="eastAsia" w:ascii="仿宋_GB2312" w:hAnsi="仿宋_GB2312" w:eastAsia="仿宋_GB2312" w:cs="仿宋_GB2312"/>
          <w:color w:val="auto"/>
          <w:sz w:val="32"/>
          <w:szCs w:val="32"/>
        </w:rPr>
        <w:t>考评员资格证书；</w:t>
      </w:r>
    </w:p>
    <w:p w14:paraId="51DE5CA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具有从事本专业或相近专业的行业特许资格（执业资格）证书者并且每年承担行业企业具体项目等2项以上；</w:t>
      </w:r>
    </w:p>
    <w:p w14:paraId="21C556B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近五年</w:t>
      </w:r>
      <w:r>
        <w:rPr>
          <w:rFonts w:hint="eastAsia" w:ascii="仿宋_GB2312" w:hAnsi="仿宋_GB2312" w:eastAsia="仿宋_GB2312" w:cs="仿宋_GB2312"/>
          <w:color w:val="auto"/>
          <w:sz w:val="32"/>
          <w:szCs w:val="32"/>
        </w:rPr>
        <w:t>本人在技能类赛事中</w:t>
      </w:r>
      <w:r>
        <w:rPr>
          <w:rFonts w:hint="eastAsia" w:ascii="仿宋_GB2312" w:hAnsi="仿宋_GB2312" w:eastAsia="仿宋_GB2312" w:cs="仿宋_GB2312"/>
          <w:color w:val="auto"/>
          <w:sz w:val="32"/>
          <w:szCs w:val="32"/>
          <w:lang w:val="en-US" w:eastAsia="zh-CN"/>
        </w:rPr>
        <w:t>获奖（省级获得二等奖以上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国家级获得</w:t>
      </w:r>
      <w:r>
        <w:rPr>
          <w:rFonts w:hint="eastAsia" w:ascii="仿宋_GB2312" w:hAnsi="仿宋_GB2312" w:eastAsia="仿宋_GB2312" w:cs="仿宋_GB2312"/>
          <w:color w:val="auto"/>
          <w:sz w:val="32"/>
          <w:szCs w:val="32"/>
          <w:lang w:val="en-US" w:eastAsia="zh"/>
        </w:rPr>
        <w:t>三</w:t>
      </w:r>
      <w:r>
        <w:rPr>
          <w:rFonts w:hint="eastAsia" w:ascii="仿宋_GB2312" w:hAnsi="仿宋_GB2312" w:eastAsia="仿宋_GB2312" w:cs="仿宋_GB2312"/>
          <w:color w:val="auto"/>
          <w:sz w:val="32"/>
          <w:szCs w:val="32"/>
          <w:lang w:val="en-US" w:eastAsia="zh-CN"/>
        </w:rPr>
        <w:t>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世界级</w:t>
      </w:r>
      <w:r>
        <w:rPr>
          <w:rFonts w:hint="eastAsia" w:ascii="仿宋_GB2312" w:hAnsi="仿宋_GB2312" w:eastAsia="仿宋_GB2312" w:cs="仿宋_GB2312"/>
          <w:color w:val="auto"/>
          <w:sz w:val="32"/>
          <w:szCs w:val="32"/>
          <w:lang w:val="en-US" w:eastAsia="zh"/>
        </w:rPr>
        <w:t>奖项</w:t>
      </w:r>
      <w:r>
        <w:rPr>
          <w:rFonts w:hint="eastAsia" w:ascii="仿宋_GB2312" w:hAnsi="仿宋_GB2312" w:eastAsia="仿宋_GB2312" w:cs="仿宋_GB2312"/>
          <w:color w:val="auto"/>
          <w:sz w:val="32"/>
          <w:szCs w:val="32"/>
          <w:lang w:val="en-US" w:eastAsia="zh-CN"/>
        </w:rPr>
        <w:t>）；或近五年</w:t>
      </w:r>
      <w:r>
        <w:rPr>
          <w:rFonts w:hint="eastAsia" w:ascii="仿宋_GB2312" w:hAnsi="仿宋_GB2312" w:eastAsia="仿宋_GB2312" w:cs="仿宋_GB2312"/>
          <w:color w:val="auto"/>
          <w:sz w:val="32"/>
          <w:szCs w:val="32"/>
        </w:rPr>
        <w:t>指导学生参加技能类赛事</w:t>
      </w:r>
      <w:r>
        <w:rPr>
          <w:rFonts w:hint="eastAsia" w:ascii="仿宋_GB2312" w:hAnsi="仿宋_GB2312" w:eastAsia="仿宋_GB2312" w:cs="仿宋_GB2312"/>
          <w:color w:val="auto"/>
          <w:sz w:val="32"/>
          <w:szCs w:val="32"/>
          <w:lang w:val="en-US" w:eastAsia="zh-CN"/>
        </w:rPr>
        <w:t>获奖（省级二等奖以上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国家级三等奖以上</w:t>
      </w:r>
      <w:r>
        <w:rPr>
          <w:rFonts w:hint="default" w:ascii="仿宋_GB2312" w:hAnsi="仿宋_GB2312" w:eastAsia="仿宋_GB2312" w:cs="仿宋_GB2312"/>
          <w:color w:val="auto"/>
          <w:sz w:val="32"/>
          <w:szCs w:val="32"/>
          <w:lang w:eastAsia="zh-CN"/>
        </w:rPr>
        <w:t>或</w:t>
      </w:r>
      <w:r>
        <w:rPr>
          <w:rFonts w:hint="eastAsia" w:ascii="仿宋_GB2312" w:hAnsi="仿宋_GB2312" w:eastAsia="仿宋_GB2312" w:cs="仿宋_GB2312"/>
          <w:color w:val="auto"/>
          <w:sz w:val="32"/>
          <w:szCs w:val="32"/>
          <w:lang w:val="en-US" w:eastAsia="zh-CN"/>
        </w:rPr>
        <w:t>世界级</w:t>
      </w:r>
      <w:r>
        <w:rPr>
          <w:rFonts w:hint="eastAsia" w:ascii="仿宋_GB2312" w:hAnsi="仿宋_GB2312" w:eastAsia="仿宋_GB2312" w:cs="仿宋_GB2312"/>
          <w:color w:val="auto"/>
          <w:sz w:val="32"/>
          <w:szCs w:val="32"/>
          <w:lang w:val="en-US" w:eastAsia="zh"/>
        </w:rPr>
        <w:t>奖项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
        </w:rPr>
        <w:t>；</w:t>
      </w:r>
    </w:p>
    <w:p w14:paraId="4B4FE08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有十年以上或近十年有</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年以上企业专业技术工作经历，</w:t>
      </w:r>
      <w:r>
        <w:rPr>
          <w:rFonts w:hint="eastAsia" w:ascii="仿宋_GB2312" w:hAnsi="仿宋_GB2312" w:eastAsia="仿宋_GB2312" w:cs="仿宋_GB2312"/>
          <w:color w:val="auto"/>
          <w:sz w:val="32"/>
          <w:szCs w:val="32"/>
          <w:lang w:val="en-US" w:eastAsia="zh-CN"/>
        </w:rPr>
        <w:t>近五年</w:t>
      </w:r>
      <w:r>
        <w:rPr>
          <w:rFonts w:hint="eastAsia" w:ascii="仿宋_GB2312" w:hAnsi="仿宋_GB2312" w:eastAsia="仿宋_GB2312" w:cs="仿宋_GB2312"/>
          <w:color w:val="auto"/>
          <w:sz w:val="32"/>
          <w:szCs w:val="32"/>
        </w:rPr>
        <w:t>主持</w:t>
      </w:r>
      <w:r>
        <w:rPr>
          <w:rFonts w:hint="eastAsia" w:ascii="仿宋_GB2312" w:hAnsi="仿宋_GB2312" w:eastAsia="仿宋_GB2312" w:cs="仿宋_GB2312"/>
          <w:color w:val="auto"/>
          <w:sz w:val="32"/>
          <w:szCs w:val="32"/>
          <w:lang w:val="en-US" w:eastAsia="zh-CN"/>
        </w:rPr>
        <w:t>2项以上</w:t>
      </w:r>
      <w:r>
        <w:rPr>
          <w:rFonts w:hint="eastAsia" w:ascii="仿宋_GB2312" w:hAnsi="仿宋_GB2312" w:eastAsia="仿宋_GB2312" w:cs="仿宋_GB2312"/>
          <w:color w:val="auto"/>
          <w:sz w:val="32"/>
          <w:szCs w:val="32"/>
        </w:rPr>
        <w:t>或主要参与（前3名）</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项及以上为企事业单位开展的各类技术研发和相关服务，成果已被企业使用，效益良好；</w:t>
      </w:r>
    </w:p>
    <w:p w14:paraId="625223C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近五年获得省部级以上技术发明奖、科学技术进步奖、应用性社会科学优秀成果奖（一等奖排名前5，二等奖排名前3，三等奖排名前1）等应用型或技术类奖项；或有各类国家专利授权（实用新型、软著、发明等）并有3项成果转化证明</w:t>
      </w:r>
      <w:r>
        <w:rPr>
          <w:rFonts w:hint="eastAsia" w:ascii="仿宋_GB2312" w:hAnsi="仿宋_GB2312" w:eastAsia="仿宋_GB2312" w:cs="仿宋_GB2312"/>
          <w:color w:val="auto"/>
          <w:sz w:val="32"/>
          <w:szCs w:val="32"/>
          <w:lang w:val="en-US" w:eastAsia="zh"/>
        </w:rPr>
        <w:t>；</w:t>
      </w:r>
    </w:p>
    <w:p w14:paraId="52380D2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（9）近五年获得省级以上政府或相关行业主管部门授予的与本专业相关的“南海系列人才”“技术能手”“生产标兵”“能工巧匠”等称号。</w:t>
      </w:r>
    </w:p>
    <w:p w14:paraId="4975CE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rPr>
        <w:t>）破格认定条件</w:t>
      </w:r>
    </w:p>
    <w:p w14:paraId="4DF4460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1.具有高校教师资格证且在高职院校连续任教1年以上，并同时满足中级“双师型”教师的专业实践能力条件</w:t>
      </w:r>
      <w:r>
        <w:rPr>
          <w:rFonts w:hint="eastAsia" w:ascii="仿宋_GB2312" w:hAnsi="仿宋_GB2312" w:eastAsia="仿宋_GB2312" w:cs="仿宋_GB2312"/>
          <w:color w:val="auto"/>
          <w:sz w:val="32"/>
          <w:szCs w:val="32"/>
          <w:lang w:val="en-US" w:eastAsia="zh-CN"/>
        </w:rPr>
        <w:t>之一</w:t>
      </w:r>
      <w:r>
        <w:rPr>
          <w:rFonts w:hint="eastAsia" w:ascii="仿宋_GB2312" w:hAnsi="仿宋_GB2312" w:eastAsia="仿宋_GB2312" w:cs="仿宋_GB2312"/>
          <w:color w:val="auto"/>
          <w:sz w:val="32"/>
          <w:szCs w:val="32"/>
        </w:rPr>
        <w:t>的，可以</w:t>
      </w:r>
      <w:r>
        <w:rPr>
          <w:rFonts w:hint="eastAsia" w:ascii="仿宋_GB2312" w:hAnsi="仿宋_GB2312" w:eastAsia="仿宋_GB2312" w:cs="仿宋_GB2312"/>
          <w:color w:val="auto"/>
          <w:sz w:val="32"/>
          <w:szCs w:val="32"/>
          <w:lang w:val="en-US" w:eastAsia="zh-CN"/>
        </w:rPr>
        <w:t>认定</w:t>
      </w:r>
      <w:r>
        <w:rPr>
          <w:rFonts w:hint="eastAsia" w:ascii="仿宋_GB2312" w:hAnsi="仿宋_GB2312" w:eastAsia="仿宋_GB2312" w:cs="仿宋_GB2312"/>
          <w:color w:val="auto"/>
          <w:sz w:val="32"/>
          <w:szCs w:val="32"/>
        </w:rPr>
        <w:t>为初级“双师型”教师。</w:t>
      </w:r>
    </w:p>
    <w:p w14:paraId="0599E1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2.具有高校教师系列初级以上专业技术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，并同时满足高级“双师型”教师专业实践能力条件</w:t>
      </w:r>
      <w:r>
        <w:rPr>
          <w:rFonts w:hint="eastAsia" w:ascii="仿宋_GB2312" w:hAnsi="仿宋_GB2312" w:eastAsia="仿宋_GB2312" w:cs="仿宋_GB2312"/>
          <w:color w:val="auto"/>
          <w:sz w:val="32"/>
          <w:szCs w:val="32"/>
          <w:lang w:val="en-US" w:eastAsia="zh-CN"/>
        </w:rPr>
        <w:t>之一</w:t>
      </w:r>
      <w:r>
        <w:rPr>
          <w:rFonts w:hint="eastAsia" w:ascii="仿宋_GB2312" w:hAnsi="仿宋_GB2312" w:eastAsia="仿宋_GB2312" w:cs="仿宋_GB2312"/>
          <w:color w:val="auto"/>
          <w:sz w:val="32"/>
          <w:szCs w:val="32"/>
        </w:rPr>
        <w:t>的，可以</w:t>
      </w:r>
      <w:r>
        <w:rPr>
          <w:rFonts w:hint="eastAsia" w:ascii="仿宋_GB2312" w:hAnsi="仿宋_GB2312" w:eastAsia="仿宋_GB2312" w:cs="仿宋_GB2312"/>
          <w:color w:val="auto"/>
          <w:sz w:val="32"/>
          <w:szCs w:val="32"/>
          <w:lang w:val="en-US" w:eastAsia="zh-CN"/>
        </w:rPr>
        <w:t>认定</w:t>
      </w:r>
      <w:r>
        <w:rPr>
          <w:rFonts w:hint="eastAsia" w:ascii="仿宋_GB2312" w:hAnsi="仿宋_GB2312" w:eastAsia="仿宋_GB2312" w:cs="仿宋_GB2312"/>
          <w:color w:val="auto"/>
          <w:sz w:val="32"/>
          <w:szCs w:val="32"/>
        </w:rPr>
        <w:t>为中级“双师型”教师。</w:t>
      </w:r>
    </w:p>
    <w:p w14:paraId="70F8CA1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具有高校教师系列</w:t>
      </w:r>
      <w:r>
        <w:rPr>
          <w:rFonts w:hint="eastAsia" w:ascii="仿宋_GB2312" w:hAnsi="仿宋_GB2312" w:eastAsia="仿宋_GB2312" w:cs="仿宋_GB2312"/>
          <w:color w:val="auto"/>
          <w:sz w:val="32"/>
          <w:szCs w:val="32"/>
          <w:lang w:val="en-US" w:eastAsia="zh-CN"/>
        </w:rPr>
        <w:t>中</w:t>
      </w:r>
      <w:r>
        <w:rPr>
          <w:rFonts w:hint="eastAsia" w:ascii="仿宋_GB2312" w:hAnsi="仿宋_GB2312" w:eastAsia="仿宋_GB2312" w:cs="仿宋_GB2312"/>
          <w:color w:val="auto"/>
          <w:sz w:val="32"/>
          <w:szCs w:val="32"/>
        </w:rPr>
        <w:t>级以上专业技术</w:t>
      </w:r>
      <w:r>
        <w:rPr>
          <w:rFonts w:hint="eastAsia" w:ascii="仿宋_GB2312" w:hAnsi="仿宋_GB2312" w:eastAsia="仿宋_GB2312" w:cs="仿宋_GB2312"/>
          <w:color w:val="auto"/>
          <w:sz w:val="32"/>
          <w:szCs w:val="32"/>
          <w:lang w:eastAsia="zh-CN"/>
        </w:rPr>
        <w:t>资格</w:t>
      </w:r>
      <w:r>
        <w:rPr>
          <w:rFonts w:hint="eastAsia" w:ascii="仿宋_GB2312" w:hAnsi="仿宋_GB2312" w:eastAsia="仿宋_GB2312" w:cs="仿宋_GB2312"/>
          <w:color w:val="auto"/>
          <w:sz w:val="32"/>
          <w:szCs w:val="32"/>
        </w:rPr>
        <w:t>，并同时满足高级“双师型”教师专业实践能力</w:t>
      </w:r>
      <w:r>
        <w:rPr>
          <w:rFonts w:hint="eastAsia" w:ascii="仿宋_GB2312" w:hAnsi="仿宋_GB2312" w:eastAsia="仿宋_GB2312" w:cs="仿宋_GB2312"/>
          <w:color w:val="auto"/>
          <w:sz w:val="32"/>
          <w:szCs w:val="32"/>
          <w:lang w:val="en-US" w:eastAsia="zh-CN"/>
        </w:rPr>
        <w:t>两项以上</w:t>
      </w:r>
      <w:r>
        <w:rPr>
          <w:rFonts w:hint="eastAsia" w:ascii="仿宋_GB2312" w:hAnsi="仿宋_GB2312" w:eastAsia="仿宋_GB2312" w:cs="仿宋_GB2312"/>
          <w:color w:val="auto"/>
          <w:sz w:val="32"/>
          <w:szCs w:val="32"/>
        </w:rPr>
        <w:t>条件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可以认定为高级“双师型”教师。</w:t>
      </w:r>
    </w:p>
    <w:p w14:paraId="4C2DF2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五、其他</w:t>
      </w:r>
    </w:p>
    <w:p w14:paraId="45314E6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lang w:val="en-US" w:eastAsia="zh-CN"/>
        </w:rPr>
        <w:t>本认定标准由海南省教育厅负责解释。</w:t>
      </w:r>
    </w:p>
    <w:p w14:paraId="532B7777">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hAnsi="仿宋_GB2312" w:cs="仿宋_GB2312"/>
          <w:b w:val="0"/>
          <w:bCs w:val="0"/>
          <w:color w:val="auto"/>
          <w:sz w:val="32"/>
          <w:szCs w:val="32"/>
        </w:rPr>
      </w:pPr>
      <w:r>
        <w:rPr>
          <w:rFonts w:hint="default" w:ascii="仿宋_GB2312" w:hAnsi="仿宋_GB2312" w:eastAsia="仿宋_GB2312" w:cs="仿宋_GB2312"/>
          <w:color w:val="auto"/>
          <w:sz w:val="32"/>
          <w:szCs w:val="32"/>
          <w:lang w:eastAsia="zh-CN"/>
        </w:rPr>
        <w:t>（二）</w:t>
      </w:r>
      <w:r>
        <w:rPr>
          <w:rFonts w:hint="eastAsia" w:ascii="仿宋_GB2312" w:hAnsi="仿宋_GB2312" w:eastAsia="仿宋_GB2312" w:cs="仿宋_GB2312"/>
          <w:b w:val="0"/>
          <w:bCs w:val="0"/>
          <w:color w:val="auto"/>
          <w:sz w:val="32"/>
          <w:szCs w:val="32"/>
        </w:rPr>
        <w:t>本</w:t>
      </w:r>
      <w:r>
        <w:rPr>
          <w:rFonts w:hint="eastAsia" w:ascii="仿宋_GB2312" w:hAnsi="仿宋_GB2312" w:cs="仿宋_GB2312"/>
          <w:b w:val="0"/>
          <w:bCs w:val="0"/>
          <w:color w:val="auto"/>
          <w:sz w:val="32"/>
          <w:szCs w:val="32"/>
          <w:lang w:val="en-US" w:eastAsia="zh-CN"/>
        </w:rPr>
        <w:t>认定标准</w:t>
      </w:r>
      <w:r>
        <w:rPr>
          <w:rFonts w:hint="eastAsia" w:ascii="仿宋_GB2312" w:hAnsi="仿宋_GB2312" w:eastAsia="仿宋_GB2312" w:cs="仿宋_GB2312"/>
          <w:b w:val="0"/>
          <w:bCs w:val="0"/>
          <w:color w:val="auto"/>
          <w:sz w:val="32"/>
          <w:szCs w:val="32"/>
        </w:rPr>
        <w:t>未尽事宜按</w:t>
      </w:r>
      <w:r>
        <w:rPr>
          <w:rFonts w:hint="eastAsia" w:ascii="仿宋_GB2312" w:hAnsi="仿宋_GB2312" w:eastAsia="仿宋_GB2312" w:cs="仿宋_GB2312"/>
          <w:b w:val="0"/>
          <w:bCs w:val="0"/>
          <w:color w:val="auto"/>
          <w:sz w:val="32"/>
          <w:szCs w:val="32"/>
          <w:lang w:eastAsia="zh-CN"/>
        </w:rPr>
        <w:t>国家和</w:t>
      </w:r>
      <w:r>
        <w:rPr>
          <w:rFonts w:hint="eastAsia" w:ascii="仿宋_GB2312" w:hAnsi="仿宋_GB2312" w:eastAsia="仿宋_GB2312" w:cs="仿宋_GB2312"/>
          <w:b w:val="0"/>
          <w:bCs w:val="0"/>
          <w:color w:val="auto"/>
          <w:sz w:val="32"/>
          <w:szCs w:val="32"/>
        </w:rPr>
        <w:t>我省相关政策执行</w:t>
      </w:r>
      <w:r>
        <w:rPr>
          <w:rFonts w:hint="eastAsia" w:ascii="仿宋_GB2312" w:hAnsi="仿宋_GB2312" w:eastAsia="仿宋_GB2312" w:cs="仿宋_GB2312"/>
          <w:b w:val="0"/>
          <w:bCs w:val="0"/>
          <w:color w:val="auto"/>
          <w:sz w:val="32"/>
          <w:szCs w:val="32"/>
          <w:lang w:eastAsia="zh-CN"/>
        </w:rPr>
        <w:t>。工作中，如遇国家、我省政策调整，按照国家、我省新的政策执行</w:t>
      </w:r>
      <w:r>
        <w:rPr>
          <w:rFonts w:hint="eastAsia" w:ascii="仿宋_GB2312" w:hAnsi="仿宋_GB2312" w:eastAsia="仿宋_GB2312" w:cs="仿宋_GB2312"/>
          <w:b w:val="0"/>
          <w:bCs w:val="0"/>
          <w:color w:val="auto"/>
          <w:sz w:val="32"/>
          <w:szCs w:val="32"/>
        </w:rPr>
        <w:t>。</w:t>
      </w:r>
    </w:p>
    <w:p w14:paraId="39DB02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sz w:val="32"/>
          <w:szCs w:val="32"/>
        </w:rPr>
      </w:pPr>
      <w:r>
        <w:rPr>
          <w:rFonts w:hint="eastAsia" w:ascii="仿宋_GB2312" w:hAnsi="仿宋_GB2312" w:eastAsia="仿宋_GB2312" w:cs="仿宋_GB2312"/>
          <w:color w:val="auto"/>
          <w:sz w:val="32"/>
          <w:szCs w:val="32"/>
          <w:lang w:eastAsia="zh-CN"/>
        </w:rPr>
        <w:t>（三）</w:t>
      </w:r>
      <w:r>
        <w:rPr>
          <w:rFonts w:hint="default" w:ascii="仿宋_GB2312" w:hAnsi="仿宋_GB2312" w:eastAsia="仿宋_GB2312" w:cs="仿宋_GB2312"/>
          <w:color w:val="auto"/>
          <w:sz w:val="32"/>
          <w:szCs w:val="32"/>
          <w:lang w:eastAsia="zh-CN"/>
        </w:rPr>
        <w:t>本</w:t>
      </w:r>
      <w:r>
        <w:rPr>
          <w:rFonts w:hint="eastAsia" w:ascii="仿宋_GB2312" w:hAnsi="仿宋_GB2312" w:eastAsia="仿宋_GB2312" w:cs="仿宋_GB2312"/>
          <w:color w:val="auto"/>
          <w:sz w:val="32"/>
          <w:szCs w:val="32"/>
          <w:lang w:eastAsia="zh-CN"/>
        </w:rPr>
        <w:t>认定标准自</w:t>
      </w:r>
      <w:r>
        <w:rPr>
          <w:rFonts w:hint="default" w:ascii="仿宋_GB2312" w:hAnsi="仿宋_GB2312" w:eastAsia="仿宋_GB2312" w:cs="仿宋_GB2312"/>
          <w:color w:val="auto"/>
          <w:sz w:val="32"/>
          <w:szCs w:val="32"/>
          <w:lang w:eastAsia="zh-CN"/>
        </w:rPr>
        <w:t>2025年1月1日起实施，</w:t>
      </w:r>
      <w:r>
        <w:rPr>
          <w:rFonts w:hint="eastAsia" w:ascii="仿宋_GB2312" w:hAnsi="仿宋_GB2312" w:eastAsia="仿宋_GB2312" w:cs="仿宋_GB2312"/>
          <w:color w:val="auto"/>
          <w:sz w:val="32"/>
          <w:szCs w:val="32"/>
          <w:lang w:eastAsia="zh-CN"/>
        </w:rPr>
        <w:t>试行</w:t>
      </w:r>
      <w:r>
        <w:rPr>
          <w:rFonts w:hint="default" w:ascii="仿宋_GB2312" w:hAnsi="仿宋_GB2312" w:eastAsia="仿宋_GB2312" w:cs="仿宋_GB2312"/>
          <w:color w:val="auto"/>
          <w:sz w:val="32"/>
          <w:szCs w:val="32"/>
          <w:lang w:eastAsia="zh-CN"/>
        </w:rPr>
        <w:t>2年</w:t>
      </w:r>
      <w:r>
        <w:rPr>
          <w:rFonts w:hint="eastAsia" w:ascii="仿宋_GB2312" w:hAnsi="仿宋_GB2312" w:eastAsia="仿宋_GB2312" w:cs="仿宋_GB2312"/>
          <w:color w:val="auto"/>
          <w:sz w:val="32"/>
          <w:szCs w:val="32"/>
          <w:lang w:eastAsia="zh-CN"/>
        </w:rPr>
        <w:t>。</w:t>
      </w:r>
    </w:p>
    <w:sectPr>
      <w:footerReference r:id="rId3" w:type="default"/>
      <w:pgSz w:w="11906" w:h="16838"/>
      <w:pgMar w:top="1814" w:right="1417" w:bottom="1417" w:left="1474" w:header="851" w:footer="1446"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56BF">
    <w:pPr>
      <w:pStyle w:val="6"/>
      <w:rPr>
        <w:rFonts w:hint="eastAsia" w:ascii="宋体"/>
        <w:sz w:val="28"/>
      </w:rPr>
    </w:pPr>
    <w:r>
      <w:rPr>
        <w:rStyle w:val="11"/>
        <w:rFonts w:hint="eastAsia" w:ascii="宋体"/>
        <w:sz w:val="28"/>
      </w:rPr>
      <w:t xml:space="preserve">                                                      — </w:t>
    </w:r>
    <w:r>
      <w:rPr>
        <w:rFonts w:ascii="宋体"/>
        <w:sz w:val="28"/>
      </w:rPr>
      <w:fldChar w:fldCharType="begin"/>
    </w:r>
    <w:r>
      <w:rPr>
        <w:rStyle w:val="11"/>
        <w:rFonts w:ascii="宋体"/>
        <w:sz w:val="28"/>
      </w:rPr>
      <w:instrText xml:space="preserve"> PAGE </w:instrText>
    </w:r>
    <w:r>
      <w:rPr>
        <w:rFonts w:ascii="宋体"/>
        <w:sz w:val="28"/>
      </w:rPr>
      <w:fldChar w:fldCharType="separate"/>
    </w:r>
    <w:r>
      <w:rPr>
        <w:rStyle w:val="11"/>
        <w:rFonts w:ascii="宋体"/>
        <w:sz w:val="28"/>
      </w:rPr>
      <w:t>1</w:t>
    </w:r>
    <w:r>
      <w:rPr>
        <w:rFonts w:ascii="宋体"/>
        <w:sz w:val="28"/>
      </w:rPr>
      <w:fldChar w:fldCharType="end"/>
    </w:r>
    <w:r>
      <w:rPr>
        <w:rStyle w:val="11"/>
        <w:rFonts w:hint="eastAsia" w:ascii="宋体"/>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FB876F"/>
    <w:rsid w:val="2EFFFBFC"/>
    <w:rsid w:val="35EF96C5"/>
    <w:rsid w:val="55F7267D"/>
    <w:rsid w:val="5FEC6D14"/>
    <w:rsid w:val="72752746"/>
    <w:rsid w:val="7BCEEA49"/>
    <w:rsid w:val="7FBB02B4"/>
    <w:rsid w:val="ACDFED70"/>
    <w:rsid w:val="F74C3F8E"/>
    <w:rsid w:val="F7BF9F5D"/>
    <w:rsid w:val="FBFB876F"/>
    <w:rsid w:val="FE4EF5AD"/>
    <w:rsid w:val="FF5DD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pPr>
  </w:style>
  <w:style w:type="paragraph" w:styleId="3">
    <w:name w:val="Body Text Indent"/>
    <w:basedOn w:val="1"/>
    <w:next w:val="2"/>
    <w:qFormat/>
    <w:uiPriority w:val="0"/>
    <w:pPr>
      <w:spacing w:line="460" w:lineRule="exact"/>
      <w:ind w:firstLine="640"/>
    </w:pPr>
    <w:rPr>
      <w:rFonts w:ascii="仿宋_GB2312" w:eastAsia="仿宋_GB2312"/>
      <w:sz w:val="32"/>
      <w:szCs w:val="24"/>
    </w:rPr>
  </w:style>
  <w:style w:type="paragraph" w:styleId="4">
    <w:name w:val="index 5"/>
    <w:basedOn w:val="1"/>
    <w:next w:val="1"/>
    <w:qFormat/>
    <w:uiPriority w:val="0"/>
    <w:pPr>
      <w:ind w:left="1680"/>
    </w:p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next w:val="4"/>
    <w:qFormat/>
    <w:uiPriority w:val="0"/>
    <w:pPr>
      <w:tabs>
        <w:tab w:val="center" w:pos="4153"/>
        <w:tab w:val="right" w:pos="8306"/>
      </w:tabs>
      <w:snapToGrid w:val="0"/>
      <w:jc w:val="left"/>
    </w:pPr>
    <w:rPr>
      <w:sz w:val="18"/>
    </w:rPr>
  </w:style>
  <w:style w:type="paragraph" w:styleId="7">
    <w:name w:val="Body Text First Indent 2"/>
    <w:basedOn w:val="3"/>
    <w:next w:val="1"/>
    <w:unhideWhenUsed/>
    <w:qFormat/>
    <w:uiPriority w:val="99"/>
    <w:pPr>
      <w:ind w:firstLine="420"/>
    </w:pPr>
  </w:style>
  <w:style w:type="table" w:styleId="9">
    <w:name w:val="Table Grid"/>
    <w:basedOn w:val="8"/>
    <w:unhideWhenUsed/>
    <w:qFormat/>
    <w:uiPriority w:val="99"/>
    <w:rPr>
      <w:rFonts w:ascii="Times New Roman" w:hAnsi="Times New Roman" w:eastAsia="Times New Roman"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unhideWhenUsed/>
    <w:qFormat/>
    <w:uiPriority w:val="99"/>
  </w:style>
  <w:style w:type="paragraph" w:customStyle="1" w:styleId="12">
    <w:name w:val="Table Paragraph"/>
    <w:basedOn w:val="1"/>
    <w:qFormat/>
    <w:uiPriority w:val="1"/>
    <w:rPr>
      <w:rFonts w:ascii="宋体" w:hAnsi="宋体"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10</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2026-05-01T15:41:00Z</dcterms:created>
  <dc:creator>greatwall</dc:creator>
  <cp:lastModifiedBy>zhihai</cp:lastModifiedBy>
  <dcterms:modified xsi:type="dcterms:W3CDTF">2026-05-09T08:46:26Z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A5BCEF1F2A654F7B8E3EFC6970FE335A_43</vt:lpwstr>
  </property>
</Properties>
</file>